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autoSpaceDN w:val="0"/>
        <w:jc w:val="center"/>
        <w:rPr>
          <w:rFonts w:ascii="宋体" w:hint="eastAsia"/>
          <w:color w:val="FF0000"/>
          <w:spacing w:val="20"/>
          <w:w w:val="70"/>
          <w:sz w:val="84"/>
          <w:szCs w:val="84"/>
        </w:rPr>
      </w:pPr>
      <w:r>
        <w:rPr>
          <w:rFonts w:ascii="宋体" w:hint="eastAsia"/>
          <w:color w:val="FF0000"/>
          <w:spacing w:val="20"/>
          <w:w w:val="70"/>
          <w:sz w:val="84"/>
          <w:szCs w:val="84"/>
        </w:rPr>
        <w:t>济南市饲料协会文件</w:t>
      </w:r>
    </w:p>
    <w:p>
      <w:pPr>
        <w:autoSpaceDN w:val="0"/>
        <w:adjustRightInd w:val="0"/>
        <w:snapToGrid w:val="0"/>
        <w:jc w:val="center"/>
        <w:rPr>
          <w:rFonts w:ascii="仿宋" w:eastAsia="仿宋" w:hint="eastAsia"/>
          <w:spacing w:val="20"/>
          <w:w w:val="80"/>
          <w:sz w:val="28"/>
          <w:szCs w:val="28"/>
        </w:rPr>
      </w:pPr>
      <w:r>
        <w:rPr>
          <w:rFonts w:ascii="仿宋" w:eastAsia="仿宋" w:hint="eastAsia"/>
          <w:spacing w:val="20"/>
          <w:w w:val="80"/>
          <w:sz w:val="28"/>
          <w:szCs w:val="28"/>
        </w:rPr>
        <w:t>济饲协字[202</w:t>
      </w:r>
      <w:r>
        <w:rPr>
          <w:rFonts w:ascii="仿宋" w:eastAsia="仿宋"/>
          <w:spacing w:val="20"/>
          <w:w w:val="80"/>
          <w:sz w:val="28"/>
          <w:szCs w:val="28"/>
        </w:rPr>
        <w:t>3</w:t>
      </w:r>
      <w:r>
        <w:rPr>
          <w:rFonts w:ascii="仿宋" w:eastAsia="仿宋" w:hint="eastAsia"/>
          <w:spacing w:val="20"/>
          <w:w w:val="80"/>
          <w:sz w:val="28"/>
          <w:szCs w:val="28"/>
        </w:rPr>
        <w:t>]03号</w:t>
      </w:r>
      <w:r>
        <w:rPr>
          <w:rFonts w:ascii="仿宋_GB2312" w:eastAsia="仿宋_GB2312" w:hint="eastAsia"/>
          <w:sz w:val="32"/>
          <w:szCs w:val="24"/>
        </w:rPr>
        <mc:AlternateContent>
          <mc:Choice Requires="wps">
            <w:drawing>
              <wp:anchor distT="0" distB="0" distL="114297" distR="114297" simplePos="0" relativeHeight="12" behindDoc="0" locked="0" layoutInCell="1" hidden="0" allowOverlap="1">
                <wp:simplePos x="0" y="0"/>
                <wp:positionH relativeFrom="column">
                  <wp:posOffset>-238759</wp:posOffset>
                </wp:positionH>
                <wp:positionV relativeFrom="paragraph">
                  <wp:posOffset>291465</wp:posOffset>
                </wp:positionV>
                <wp:extent cx="5989320" cy="0"/>
                <wp:effectExtent l="0" t="0" r="0" b="0"/>
                <wp:wrapNone/>
                <wp:docPr id="1" name="_x0000_s1026 2"/>
                <wp:cNvGraphicFramePr>
                  <a:graphicFrameLocks noChangeAspect="0"/>
                </wp:cNvGraphicFramePr>
                <a:graphic>
                  <a:graphicData uri="http://schemas.microsoft.com/office/word/2010/wordprocessingShape">
                    <wps:wsp>
                      <wps:cNvSpPr/>
                      <wps:spPr>
                        <a:xfrm rot="0">
                          <a:off x="0" y="0"/>
                          <a:ext cx="5989320" cy="0"/>
                        </a:xfrm>
                        <a:prstGeom prst="line"/>
                        <a:noFill/>
                        <a:ln w="19050" cmpd="sng"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line type="#_x0000_t20" id="_x0000_s1026 2 2" o:spid="_x0000_s2" from="-18.8pt,22.95pt" to="452.80002pt,22.95pt" filled="f" stroked="t" strokeweight="1.5pt" style="position:absolute;z-index:12;mso-position-horizontal:absolute;mso-position-vertical:absolute;mso-wrap-distance-left:8.99983pt;mso-wrap-distance-right:8.99983pt;visibility:visible;">
                <v:stroke color="#FF0000"/>
              </v:line>
            </w:pict>
          </mc:Fallback>
        </mc:AlternateContent>
      </w:r>
    </w:p>
    <w:p>
      <w:pPr>
        <w:widowControl/>
        <w:spacing w:line="360" w:lineRule="auto"/>
        <w:jc w:val="center"/>
        <w:rPr>
          <w:rFonts w:ascii="宋体" w:eastAsia="仿宋_GB2312" w:hAnsi="宋体"/>
          <w:b/>
          <w:sz w:val="32"/>
          <w:szCs w:val="32"/>
        </w:rPr>
      </w:pPr>
      <w:r>
        <w:rPr>
          <w:rFonts w:ascii="宋体" w:cs="宋体" w:hint="eastAsia"/>
          <w:b/>
          <w:bCs/>
          <w:kern w:val="0"/>
          <w:sz w:val="32"/>
          <w:szCs w:val="32"/>
        </w:rPr>
        <w:t>关于缴纳“济南市饲料协会</w:t>
      </w:r>
      <w:r>
        <w:rPr>
          <w:rFonts w:ascii="宋体" w:cs="宋体"/>
          <w:b/>
          <w:bCs/>
          <w:kern w:val="0"/>
          <w:sz w:val="32"/>
          <w:szCs w:val="32"/>
        </w:rPr>
        <w:t>2023</w:t>
      </w:r>
      <w:r>
        <w:rPr>
          <w:rFonts w:ascii="宋体" w:cs="宋体" w:hint="eastAsia"/>
          <w:b/>
          <w:bCs/>
          <w:kern w:val="0"/>
          <w:sz w:val="32"/>
          <w:szCs w:val="32"/>
        </w:rPr>
        <w:t>年度会费”的通知</w:t>
      </w:r>
    </w:p>
    <w:p>
      <w:pPr>
        <w:widowControl/>
        <w:adjustRightInd w:val="0"/>
        <w:snapToGrid w:val="0"/>
        <w:spacing w:line="360" w:lineRule="auto"/>
        <w:rPr>
          <w:rFonts w:ascii="仿宋_GB2312" w:eastAsia="仿宋_GB2312" w:cs="宋体" w:hint="eastAsia"/>
          <w:kern w:val="0"/>
          <w:sz w:val="28"/>
          <w:szCs w:val="28"/>
        </w:rPr>
      </w:pPr>
      <w:r>
        <w:rPr>
          <w:rFonts w:ascii="仿宋_GB2312" w:eastAsia="仿宋_GB2312" w:cs="宋体" w:hint="eastAsia"/>
          <w:kern w:val="0"/>
          <w:sz w:val="28"/>
          <w:szCs w:val="28"/>
        </w:rPr>
        <w:t>各副会长、常务理事、理事、会员单位：</w:t>
      </w:r>
    </w:p>
    <w:p>
      <w:pPr>
        <w:widowControl/>
        <w:ind w:firstLineChars="200" w:firstLine="560"/>
        <w:jc w:val="left"/>
        <w:rPr>
          <w:rFonts w:ascii="仿宋" w:eastAsia="仿宋" w:hint="eastAsia"/>
          <w:sz w:val="28"/>
          <w:szCs w:val="28"/>
        </w:rPr>
      </w:pPr>
      <w:r>
        <w:rPr>
          <w:rFonts w:ascii="仿宋" w:eastAsia="仿宋" w:cs="宋体" w:hint="eastAsia"/>
          <w:kern w:val="0"/>
          <w:sz w:val="28"/>
          <w:szCs w:val="28"/>
        </w:rPr>
        <w:t>“</w:t>
      </w:r>
      <w:r>
        <w:rPr>
          <w:rFonts w:ascii="仿宋" w:eastAsia="仿宋" w:hint="eastAsia"/>
          <w:sz w:val="28"/>
          <w:szCs w:val="28"/>
        </w:rPr>
        <w:t>泉城论坛—2023畜牧饲料兽药峰会暨全市饲料兽药规范创新高质量发展和安全生产应急处置演练</w:t>
      </w:r>
      <w:r>
        <w:rPr>
          <w:rFonts w:ascii="仿宋" w:eastAsia="仿宋" w:cs="宋体" w:hint="eastAsia"/>
          <w:kern w:val="0"/>
          <w:sz w:val="28"/>
          <w:szCs w:val="28"/>
        </w:rPr>
        <w:t>”</w:t>
      </w:r>
      <w:r>
        <w:rPr>
          <w:rFonts w:ascii="仿宋" w:eastAsia="仿宋" w:hint="eastAsia"/>
          <w:kern w:val="0"/>
          <w:sz w:val="28"/>
          <w:szCs w:val="28"/>
        </w:rPr>
        <w:t>将于6月</w:t>
      </w:r>
      <w:r>
        <w:rPr>
          <w:rFonts w:ascii="仿宋" w:eastAsia="仿宋"/>
          <w:kern w:val="0"/>
          <w:sz w:val="28"/>
          <w:szCs w:val="28"/>
        </w:rPr>
        <w:t>27</w:t>
      </w:r>
      <w:r>
        <w:rPr>
          <w:rFonts w:ascii="仿宋" w:eastAsia="仿宋" w:hint="eastAsia"/>
          <w:kern w:val="0"/>
          <w:sz w:val="28"/>
          <w:szCs w:val="28"/>
        </w:rPr>
        <w:t>日</w:t>
      </w:r>
      <w:r>
        <w:rPr>
          <w:rFonts w:ascii="仿宋" w:eastAsia="仿宋"/>
          <w:kern w:val="0"/>
          <w:sz w:val="28"/>
          <w:szCs w:val="28"/>
        </w:rPr>
        <w:t>至28</w:t>
      </w:r>
      <w:r>
        <w:rPr>
          <w:rFonts w:ascii="仿宋" w:eastAsia="仿宋" w:hint="eastAsia"/>
          <w:kern w:val="0"/>
          <w:sz w:val="28"/>
          <w:szCs w:val="28"/>
        </w:rPr>
        <w:t>日在</w:t>
      </w:r>
      <w:r>
        <w:rPr>
          <w:rFonts w:ascii="仿宋_GB2312" w:eastAsia="仿宋_GB2312" w:hint="eastAsia"/>
          <w:kern w:val="0"/>
          <w:sz w:val="28"/>
          <w:szCs w:val="28"/>
        </w:rPr>
        <w:t>济南市历城区融创施柏阁酒店举行。为保证协会日常工作和年会正常开展，现开始收取</w:t>
      </w:r>
      <w:r>
        <w:rPr>
          <w:rFonts w:ascii="仿宋_GB2312" w:eastAsia="仿宋_GB2312" w:hint="eastAsia"/>
          <w:sz w:val="28"/>
          <w:szCs w:val="28"/>
        </w:rPr>
        <w:t>济南市饲料协会202</w:t>
      </w:r>
      <w:r>
        <w:rPr>
          <w:rFonts w:ascii="仿宋_GB2312" w:eastAsia="仿宋_GB2312"/>
          <w:sz w:val="28"/>
          <w:szCs w:val="28"/>
        </w:rPr>
        <w:t>3</w:t>
      </w:r>
      <w:r>
        <w:rPr>
          <w:rFonts w:ascii="仿宋_GB2312" w:eastAsia="仿宋_GB2312" w:hint="eastAsia"/>
          <w:sz w:val="28"/>
          <w:szCs w:val="28"/>
        </w:rPr>
        <w:t>年度会费，请各单位积极配合。</w:t>
      </w:r>
    </w:p>
    <w:p>
      <w:pPr>
        <w:widowControl/>
        <w:adjustRightInd w:val="0"/>
        <w:snapToGrid w:val="0"/>
        <w:spacing w:line="307" w:lineRule="auto"/>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为规范本协会会费收取、使用和管理，根据国家民政部、财政部（民发〔2003〕95号）《关于调整社会团体会费政策等有关问题的通知》要求，结合我会实际状况，特制定本会会员缴纳会费标准和管理办法如下：</w:t>
      </w:r>
    </w:p>
    <w:p>
      <w:pPr>
        <w:widowControl/>
        <w:adjustRightInd w:val="0"/>
        <w:snapToGrid w:val="0"/>
        <w:spacing w:line="307" w:lineRule="auto"/>
        <w:ind w:firstLineChars="200" w:firstLine="560"/>
        <w:rPr>
          <w:rFonts w:ascii="仿宋_GB2312" w:eastAsia="仿宋_GB2312" w:cs="宋体" w:hint="eastAsia"/>
          <w:kern w:val="0"/>
          <w:sz w:val="28"/>
          <w:szCs w:val="28"/>
        </w:rPr>
      </w:pPr>
      <w:r>
        <w:rPr>
          <w:rFonts w:ascii="仿宋_GB2312" w:eastAsia="仿宋_GB2312" w:cs="宋体" w:hint="eastAsia"/>
          <w:b/>
          <w:bCs/>
          <w:kern w:val="0"/>
          <w:sz w:val="28"/>
          <w:szCs w:val="28"/>
        </w:rPr>
        <w:t>一、会费收取标准</w:t>
      </w:r>
    </w:p>
    <w:p>
      <w:pPr>
        <w:widowControl/>
        <w:adjustRightInd w:val="0"/>
        <w:snapToGrid w:val="0"/>
        <w:spacing w:line="307" w:lineRule="auto"/>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副会长单位： 5000元/年</w:t>
      </w:r>
    </w:p>
    <w:p>
      <w:pPr>
        <w:widowControl/>
        <w:adjustRightInd w:val="0"/>
        <w:snapToGrid w:val="0"/>
        <w:spacing w:line="307" w:lineRule="auto"/>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常务理事单位： 2000元/年</w:t>
      </w:r>
    </w:p>
    <w:p>
      <w:pPr>
        <w:widowControl/>
        <w:adjustRightInd w:val="0"/>
        <w:snapToGrid w:val="0"/>
        <w:spacing w:line="307" w:lineRule="auto"/>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理事单位：  1000元/年</w:t>
      </w:r>
    </w:p>
    <w:p>
      <w:pPr>
        <w:widowControl/>
        <w:adjustRightInd w:val="0"/>
        <w:snapToGrid w:val="0"/>
        <w:spacing w:line="307" w:lineRule="auto"/>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会员单位：  800元/年</w:t>
      </w:r>
    </w:p>
    <w:p>
      <w:pPr>
        <w:widowControl/>
        <w:adjustRightInd w:val="0"/>
        <w:snapToGrid w:val="0"/>
        <w:spacing w:line="307" w:lineRule="auto"/>
        <w:ind w:firstLineChars="200" w:firstLine="560"/>
        <w:rPr>
          <w:rFonts w:ascii="仿宋_GB2312" w:eastAsia="仿宋_GB2312" w:cs="宋体" w:hint="eastAsia"/>
          <w:kern w:val="0"/>
          <w:sz w:val="28"/>
          <w:szCs w:val="28"/>
        </w:rPr>
      </w:pPr>
      <w:r>
        <w:rPr>
          <w:rFonts w:ascii="仿宋_GB2312" w:eastAsia="仿宋_GB2312" w:cs="宋体" w:hint="eastAsia"/>
          <w:b/>
          <w:bCs/>
          <w:kern w:val="0"/>
          <w:sz w:val="28"/>
          <w:szCs w:val="28"/>
        </w:rPr>
        <w:t>二、会费缴纳方式</w:t>
      </w:r>
    </w:p>
    <w:p>
      <w:pPr>
        <w:widowControl/>
        <w:adjustRightInd w:val="0"/>
        <w:snapToGrid w:val="0"/>
        <w:spacing w:line="307" w:lineRule="auto"/>
        <w:ind w:firstLineChars="200" w:firstLine="560"/>
        <w:rPr>
          <w:rFonts w:ascii="仿宋_GB2312" w:eastAsia="仿宋_GB2312" w:cs="宋体" w:hint="eastAsia"/>
          <w:kern w:val="0"/>
          <w:sz w:val="28"/>
          <w:szCs w:val="28"/>
        </w:rPr>
      </w:pPr>
      <w:r>
        <w:rPr>
          <w:rFonts w:ascii="仿宋_GB2312" w:eastAsia="仿宋_GB2312" w:hint="eastAsia"/>
          <w:color w:val="000000"/>
          <w:sz w:val="28"/>
          <w:szCs w:val="28"/>
        </w:rPr>
        <w:t>接财务部门要求，会费唯一缴纳方式为银行对公帐号，拒绝微信、支付宝。</w:t>
      </w:r>
      <w:r>
        <w:rPr>
          <w:rFonts w:ascii="仿宋_GB2312" w:eastAsia="仿宋_GB2312"/>
          <w:color w:val="000000"/>
          <w:sz w:val="28"/>
          <w:szCs w:val="28"/>
        </w:rPr>
        <w:t>发票统一开电子发票。</w:t>
      </w:r>
      <w:r>
        <w:rPr>
          <w:rFonts w:ascii="仿宋_GB2312" w:eastAsia="仿宋_GB2312" w:hint="eastAsia"/>
          <w:color w:val="000000"/>
          <w:sz w:val="28"/>
          <w:szCs w:val="28"/>
        </w:rPr>
        <w:t>请各单位于202</w:t>
      </w:r>
      <w:r>
        <w:rPr>
          <w:rFonts w:ascii="仿宋_GB2312" w:eastAsia="仿宋_GB2312"/>
          <w:color w:val="000000"/>
          <w:sz w:val="28"/>
          <w:szCs w:val="28"/>
        </w:rPr>
        <w:t>3</w:t>
      </w:r>
      <w:r>
        <w:rPr>
          <w:rFonts w:ascii="仿宋_GB2312" w:eastAsia="仿宋_GB2312" w:hint="eastAsia"/>
          <w:color w:val="000000"/>
          <w:sz w:val="28"/>
          <w:szCs w:val="28"/>
        </w:rPr>
        <w:t>年6月</w:t>
      </w:r>
      <w:r>
        <w:rPr>
          <w:rFonts w:ascii="仿宋_GB2312" w:eastAsia="仿宋_GB2312"/>
          <w:color w:val="000000"/>
          <w:sz w:val="28"/>
          <w:szCs w:val="28"/>
        </w:rPr>
        <w:t>2</w:t>
      </w:r>
      <w:r>
        <w:rPr>
          <w:rFonts w:ascii="仿宋_GB2312" w:eastAsia="仿宋_GB2312" w:hint="eastAsia"/>
          <w:color w:val="000000"/>
          <w:sz w:val="28"/>
          <w:szCs w:val="28"/>
        </w:rPr>
        <w:t>0日前交纳会费，</w:t>
      </w:r>
      <w:r>
        <w:rPr>
          <w:rFonts w:ascii="仿宋_GB2312" w:eastAsia="仿宋_GB2312"/>
          <w:color w:val="000000"/>
          <w:sz w:val="28"/>
          <w:szCs w:val="28"/>
        </w:rPr>
        <w:t>并备注接收电子发票的邮箱</w:t>
      </w:r>
      <w:r>
        <w:rPr>
          <w:rFonts w:ascii="仿宋_GB2312" w:eastAsia="仿宋_GB2312" w:hint="eastAsia"/>
          <w:color w:val="000000"/>
          <w:sz w:val="28"/>
          <w:szCs w:val="28"/>
        </w:rPr>
        <w:t>。</w:t>
      </w:r>
    </w:p>
    <w:p>
      <w:pPr>
        <w:widowControl/>
        <w:adjustRightInd w:val="0"/>
        <w:snapToGrid w:val="0"/>
        <w:spacing w:line="307" w:lineRule="auto"/>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户名：济南市饲料协会</w:t>
      </w:r>
    </w:p>
    <w:p>
      <w:pPr>
        <w:widowControl/>
        <w:adjustRightInd w:val="0"/>
        <w:snapToGrid w:val="0"/>
        <w:spacing w:line="307" w:lineRule="auto"/>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开户行：</w:t>
      </w:r>
      <w:r>
        <w:rPr>
          <w:rFonts w:ascii="仿宋_GB2312" w:eastAsia="仿宋_GB2312" w:hint="eastAsia"/>
          <w:sz w:val="28"/>
          <w:szCs w:val="28"/>
        </w:rPr>
        <w:t>中国农业银行股份有限公司济南文苑支行</w:t>
      </w:r>
    </w:p>
    <w:p>
      <w:pPr>
        <w:widowControl/>
        <w:adjustRightInd w:val="0"/>
        <w:snapToGrid w:val="0"/>
        <w:spacing w:line="307" w:lineRule="auto"/>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帐号：</w:t>
      </w:r>
      <w:r>
        <w:rPr>
          <w:rFonts w:ascii="仿宋_GB2312" w:eastAsia="仿宋_GB2312" w:hint="eastAsia"/>
          <w:sz w:val="28"/>
          <w:szCs w:val="28"/>
        </w:rPr>
        <w:t>15153201040004631</w:t>
      </w:r>
    </w:p>
    <w:p>
      <w:pPr>
        <w:widowControl/>
        <w:adjustRightInd w:val="0"/>
        <w:snapToGrid w:val="0"/>
        <w:spacing w:line="307" w:lineRule="auto"/>
        <w:ind w:firstLineChars="200" w:firstLine="560"/>
        <w:rPr>
          <w:rFonts w:ascii="仿宋_GB2312" w:eastAsia="仿宋_GB2312" w:cs="宋体" w:hint="eastAsia"/>
          <w:kern w:val="0"/>
          <w:sz w:val="28"/>
          <w:szCs w:val="28"/>
        </w:rPr>
      </w:pPr>
    </w:p>
    <w:p>
      <w:pPr>
        <w:widowControl/>
        <w:adjustRightInd w:val="0"/>
        <w:snapToGrid w:val="0"/>
        <w:spacing w:line="307" w:lineRule="auto"/>
        <w:ind w:firstLineChars="200" w:firstLine="560"/>
        <w:rPr>
          <w:rFonts w:ascii="仿宋_GB2312" w:eastAsia="仿宋_GB2312" w:cs="宋体"/>
          <w:kern w:val="0"/>
          <w:sz w:val="28"/>
          <w:szCs w:val="28"/>
        </w:rPr>
      </w:pPr>
      <w:r>
        <w:rPr>
          <w:rFonts w:ascii="仿宋_GB2312" w:eastAsia="仿宋_GB2312" w:cs="宋体" w:hint="eastAsia"/>
          <w:kern w:val="0"/>
          <w:sz w:val="28"/>
          <w:szCs w:val="28"/>
        </w:rPr>
        <w:t>请各有关单位及时缴纳会费，各位会员单位相互知照。</w:t>
      </w:r>
    </w:p>
    <w:p>
      <w:pPr>
        <w:widowControl/>
        <w:adjustRightInd w:val="0"/>
        <w:snapToGrid w:val="0"/>
        <w:spacing w:line="307" w:lineRule="auto"/>
        <w:ind w:firstLineChars="200" w:firstLine="560"/>
        <w:rPr>
          <w:rFonts w:ascii="仿宋_GB2312" w:eastAsia="仿宋_GB2312" w:cs="宋体" w:hint="eastAsia"/>
          <w:kern w:val="0"/>
          <w:sz w:val="28"/>
          <w:szCs w:val="28"/>
        </w:rPr>
      </w:pPr>
    </w:p>
    <w:p>
      <w:pPr>
        <w:widowControl/>
        <w:adjustRightInd w:val="0"/>
        <w:snapToGrid w:val="0"/>
        <w:spacing w:line="307" w:lineRule="auto"/>
        <w:ind w:firstLineChars="2100" w:firstLine="5880"/>
        <w:rPr>
          <w:rFonts w:ascii="仿宋_GB2312" w:eastAsia="仿宋_GB2312" w:cs="宋体" w:hint="eastAsia"/>
          <w:kern w:val="0"/>
          <w:sz w:val="28"/>
          <w:szCs w:val="28"/>
        </w:rPr>
      </w:pPr>
      <w:r>
        <w:rPr>
          <w:rFonts w:ascii="仿宋_GB2312" w:eastAsia="仿宋_GB2312" w:cs="宋体" w:hint="eastAsia"/>
          <w:kern w:val="0"/>
          <w:sz w:val="28"/>
          <w:szCs w:val="28"/>
        </w:rPr>
        <w:t>济南市饲料协会</w:t>
      </w:r>
    </w:p>
    <w:p>
      <w:pPr>
        <w:widowControl/>
        <w:adjustRightInd w:val="0"/>
        <w:snapToGrid w:val="0"/>
        <w:spacing w:line="307" w:lineRule="auto"/>
        <w:ind w:firstLineChars="2100" w:firstLine="5880"/>
        <w:rPr>
          <w:rFonts w:ascii="仿宋_GB2312" w:eastAsia="仿宋_GB2312" w:cs="宋体" w:hint="eastAsia"/>
          <w:color w:val="333333"/>
          <w:kern w:val="0"/>
          <w:sz w:val="28"/>
          <w:szCs w:val="28"/>
        </w:rPr>
      </w:pPr>
      <w:r>
        <w:rPr>
          <w:rFonts w:ascii="仿宋_GB2312" w:eastAsia="仿宋_GB2312" w:cs="宋体" w:hint="eastAsia"/>
          <w:color w:val="333333"/>
          <w:kern w:val="0"/>
          <w:sz w:val="28"/>
          <w:szCs w:val="28"/>
        </w:rPr>
        <w:t>202</w:t>
      </w:r>
      <w:r>
        <w:rPr>
          <w:rFonts w:ascii="仿宋_GB2312" w:eastAsia="仿宋_GB2312" w:cs="宋体"/>
          <w:color w:val="333333"/>
          <w:kern w:val="0"/>
          <w:sz w:val="28"/>
          <w:szCs w:val="28"/>
        </w:rPr>
        <w:t>3</w:t>
      </w:r>
      <w:r>
        <w:rPr>
          <w:rFonts w:ascii="仿宋_GB2312" w:eastAsia="仿宋_GB2312" w:cs="宋体" w:hint="eastAsia"/>
          <w:color w:val="333333"/>
          <w:kern w:val="0"/>
          <w:sz w:val="28"/>
          <w:szCs w:val="28"/>
        </w:rPr>
        <w:t>年</w:t>
      </w:r>
      <w:r>
        <w:rPr>
          <w:rFonts w:ascii="仿宋_GB2312" w:eastAsia="仿宋_GB2312" w:cs="宋体"/>
          <w:color w:val="333333"/>
          <w:kern w:val="0"/>
          <w:sz w:val="28"/>
          <w:szCs w:val="28"/>
        </w:rPr>
        <w:t>5</w:t>
      </w:r>
      <w:r>
        <w:rPr>
          <w:rFonts w:ascii="仿宋_GB2312" w:eastAsia="仿宋_GB2312" w:cs="宋体" w:hint="eastAsia"/>
          <w:color w:val="333333"/>
          <w:kern w:val="0"/>
          <w:sz w:val="28"/>
          <w:szCs w:val="28"/>
        </w:rPr>
        <w:t>月</w:t>
      </w:r>
      <w:r>
        <w:rPr>
          <w:rFonts w:ascii="仿宋_GB2312" w:eastAsia="仿宋_GB2312" w:cs="宋体"/>
          <w:color w:val="333333"/>
          <w:kern w:val="0"/>
          <w:sz w:val="28"/>
          <w:szCs w:val="28"/>
        </w:rPr>
        <w:t>22</w:t>
      </w:r>
      <w:bookmarkStart w:id="0" w:name="_GoBack"/>
      <w:bookmarkEnd w:id="0"/>
      <w:r>
        <w:rPr>
          <w:rFonts w:ascii="仿宋_GB2312" w:eastAsia="仿宋_GB2312" w:cs="宋体" w:hint="eastAsia"/>
          <w:color w:val="333333"/>
          <w:kern w:val="0"/>
          <w:sz w:val="28"/>
          <w:szCs w:val="28"/>
        </w:rPr>
        <w:t>日</w:t>
      </w:r>
    </w:p>
    <w:sectPr>
      <w:pgSz w:w="11907" w:h="16840"/>
      <w:pgMar w:top="1134" w:right="1588" w:bottom="567"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variable"/>
    <w:sig w:usb0="800002BF" w:usb1="38CF7CFA" w:usb2="00000016" w:usb3="00000000" w:csb0="00040001" w:csb1="00000000"/>
  </w:font>
  <w:font w:name="仿宋_GB2312">
    <w:altName w:val="仿宋"/>
    <w:panose1 w:val="00000000000000000000"/>
    <w:charset w:val="86"/>
    <w:family w:val="auto"/>
    <w:pitch w:val="variable"/>
    <w:sig w:usb0="00000001"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Calibri" w:eastAsia="宋体" w:cs="Times New Roman" w:hAnsi="Calibri"/>
      <w:kern w:val="2"/>
      <w:sz w:val="21"/>
      <w:szCs w:val="22"/>
      <w:lang w:val="en-US" w:eastAsia="zh-CN" w:bidi="ar-SA"/>
    </w:rPr>
  </w:style>
  <w:style w:type="paragraph" w:styleId="1">
    <w:name w:val="heading 1"/>
    <w:qFormat/>
    <w:basedOn w:val="0"/>
    <w:next w:val="0"/>
    <w:pPr>
      <w:keepNext/>
      <w:keepLines/>
      <w:widowControl w:val="0"/>
      <w:spacing w:before="340" w:after="330" w:line="578" w:lineRule="auto"/>
      <w:outlineLvl w:val="0"/>
    </w:pPr>
    <w:rPr>
      <w:b/>
      <w:bCs/>
      <w:kern w:val="44"/>
      <w:sz w:val="44"/>
    </w:rPr>
  </w:style>
  <w:style w:type="paragraph" w:styleId="2">
    <w:name w:val="heading 2"/>
    <w:qFormat/>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character" w:styleId="15">
    <w:name w:val="Hyperlink"/>
    <w:qFormat/>
    <w:rPr>
      <w:color w:val="0000FF"/>
      <w:u w:val="single"/>
    </w:rPr>
  </w:style>
  <w:style w:type="paragraph" w:customStyle="1" w:styleId="16">
    <w:name w:val="列出段落1"/>
    <w:qFormat/>
    <w:basedOn w:val="0"/>
    <w:pPr>
      <w:ind w:firstLineChars="200" w:firstLine="200"/>
    </w:pPr>
    <w:rPr>
      <w:rFonts w:cs="Arial"/>
    </w:rPr>
  </w:style>
  <w:style w:type="paragraph" w:styleId="17">
    <w:name w:val="Normal (Web)"/>
    <w:qFormat/>
    <w:pPr>
      <w:widowControl w:val="0"/>
      <w:spacing w:before="100" w:beforeAutospacing="1" w:after="100" w:afterAutospacing="1"/>
    </w:pPr>
    <w:rPr>
      <w:rFonts w:ascii="宋体" w:eastAsia="宋体"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134</TotalTime>
  <Application>Yozo_Office27021597764231180</Application>
  <Pages>1</Pages>
  <Words>0</Words>
  <Characters>408</Characters>
  <Lines>0</Lines>
  <Paragraphs>21</Paragraphs>
  <CharactersWithSpaces>545</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creator>Thinkpad</dc:creator>
  <cp:lastModifiedBy>Administrator</cp:lastModifiedBy>
  <cp:revision>2</cp:revision>
  <dcterms:created xsi:type="dcterms:W3CDTF">2016-07-27T02:07:00Z</dcterms:created>
  <dcterms:modified xsi:type="dcterms:W3CDTF">2023-05-22T01:04:59Z</dcterms:modified>
</cp:coreProperties>
</file>